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Rothrock Ray A.</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CENTRUS ENERGY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LEU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CENTRUS ENERGY CORP.</w:t>
            </w:r>
          </w:p>
        </w:tc>
        <w:tc>
          <w:tcPr>
            <w:tcW w:w="138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6901 ROCKLEDGE DRIVE, SUITE 800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20817</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757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2,915</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684 vested RSUs, 1,474 Class A common stock, and 757 unvested RSUs under the Company's equity incentive plan. The newly acquired restricted stock units vest on June 16, 2027 and will be settled at that time by issuing shares.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Richard Emery,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0899" TargetMode="External"/><Relationship Id="rId14" Type="http://schemas.openxmlformats.org/officeDocument/2006/relationships/hyperlink" Target="http://www.sec.gov/cgi-bin/browse-edgar?action=getcompany&amp;CIK=0001065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2026-06-23T18:59:49Z</dcterms:created>
  <dcterms:modified xsi:type="dcterms:W3CDTF">2026-06-23T18:59:49Z</dcterms:modified>
</cp:coreProperties>
</file>