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1534160</wp:posOffset>
            </wp:positionH>
            <wp:positionV relativeFrom="page">
              <wp:posOffset>621030</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587375</wp:posOffset>
            </wp:positionV>
            <wp:extent cx="44805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1333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C0C0C0"/>
        </w:rPr>
        <w:t>_________________</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Date of Report (Date of earliest event reported): June 30, 2026</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Centrus Energy Corp.</w:t>
      </w:r>
    </w:p>
    <w:p>
      <w:pPr>
        <w:spacing w:after="0" w:line="6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060"/>
          </w:cols>
          <w:pgMar w:left="300" w:top="1214" w:right="539" w:bottom="1440" w:gutter="0" w:footer="0" w:header="0"/>
        </w:sectPr>
      </w:pPr>
    </w:p>
    <w:p>
      <w:pPr>
        <w:spacing w:after="0" w:line="31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1-14287</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52-2107911</w:t>
      </w:r>
    </w:p>
    <w:p>
      <w:pPr>
        <w:spacing w:after="0" w:line="41" w:lineRule="exact"/>
        <w:rPr>
          <w:sz w:val="24"/>
          <w:szCs w:val="24"/>
          <w:color w:val="auto"/>
        </w:rPr>
      </w:pPr>
    </w:p>
    <w:p>
      <w:pPr>
        <w:sectPr>
          <w:pgSz w:w="11900" w:h="16838" w:orient="portrait"/>
          <w:cols w:equalWidth="0" w:num="3">
            <w:col w:w="4740" w:space="720"/>
            <w:col w:w="1640" w:space="720"/>
            <w:col w:w="3240"/>
          </w:cols>
          <w:pgMar w:left="300" w:top="1214" w:right="5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80" w:space="480"/>
            <w:col w:w="1540" w:space="640"/>
            <w:col w:w="3920"/>
          </w:cols>
          <w:pgMar w:left="300" w:top="1214" w:right="539" w:bottom="1440" w:gutter="0" w:footer="0" w:header="0"/>
          <w:type w:val="continuous"/>
        </w:sectPr>
      </w:pPr>
    </w:p>
    <w:p>
      <w:pPr>
        <w:spacing w:after="0" w:line="7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6901 Rockledge Drive, Suite 800</w:t>
      </w:r>
    </w:p>
    <w:p>
      <w:pPr>
        <w:spacing w:after="0" w:line="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Bethesda, MD 20817</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564-3200</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62"/>
        </w:trPr>
        <w:tc>
          <w:tcPr>
            <w:tcW w:w="1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1580" w:type="dxa"/>
            <w:vAlign w:val="bottom"/>
          </w:tcPr>
          <w:p>
            <w:pPr>
              <w:spacing w:after="0"/>
              <w:rPr>
                <w:sz w:val="14"/>
                <w:szCs w:val="14"/>
                <w:color w:val="auto"/>
              </w:rPr>
            </w:pPr>
          </w:p>
        </w:tc>
        <w:tc>
          <w:tcPr>
            <w:tcW w:w="228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Trading Symbol</w:t>
            </w:r>
          </w:p>
        </w:tc>
        <w:tc>
          <w:tcPr>
            <w:tcW w:w="3160" w:type="dxa"/>
            <w:vAlign w:val="bottom"/>
            <w:gridSpan w:val="2"/>
          </w:tcPr>
          <w:p>
            <w:pPr>
              <w:jc w:val="center"/>
              <w:ind w:left="59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4560" w:type="dxa"/>
            <w:vAlign w:val="bottom"/>
            <w:gridSpan w:val="3"/>
          </w:tcPr>
          <w:p>
            <w:pPr>
              <w:jc w:val="center"/>
              <w:ind w:left="29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760" w:type="dxa"/>
            <w:vAlign w:val="bottom"/>
          </w:tcPr>
          <w:p>
            <w:pPr>
              <w:spacing w:after="0"/>
              <w:rPr>
                <w:sz w:val="16"/>
                <w:szCs w:val="16"/>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LEU</w:t>
            </w:r>
          </w:p>
        </w:tc>
        <w:tc>
          <w:tcPr>
            <w:tcW w:w="6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306"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215265</wp:posOffset>
            </wp:positionV>
            <wp:extent cx="448056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0560" cy="133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194945</wp:posOffset>
            </wp:positionV>
            <wp:extent cx="4480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0560" cy="6985"/>
                    </a:xfrm>
                    <a:prstGeom prst="rect">
                      <a:avLst/>
                    </a:prstGeom>
                    <a:noFill/>
                  </pic:spPr>
                </pic:pic>
              </a:graphicData>
            </a:graphic>
          </wp:anchor>
        </w:drawing>
      </w:r>
    </w:p>
    <w:p>
      <w:pPr>
        <w:sectPr>
          <w:pgSz w:w="11900" w:h="16838" w:orient="portrait"/>
          <w:cols w:equalWidth="0" w:num="1">
            <w:col w:w="11060"/>
          </w:cols>
          <w:pgMar w:left="300" w:top="121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8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On June 30, 2026, American Centrifuge Operating, LLC, a Delaware limited liability company (“ACO”) and a wholly owned subsidiary of Centrus Energy Corp. (“Centrus”), signed a United States Department of Energy (the “Department”) contract (the “Contract”) to establish new domestic commercial High-Assay, Low-Enriched Uranium ("HALEU") enrichment capacity at its facility leased from the Department in Piketon, Ohio. The Contract governs ACO’s performance of a task order awarded by the Department under an indefinite delivery-indefinite quantity contract executed between ACO and the Department in 2024.</w:t>
      </w:r>
    </w:p>
    <w:p>
      <w:pPr>
        <w:spacing w:after="0" w:line="176"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6"/>
          <w:szCs w:val="16"/>
          <w:color w:val="auto"/>
        </w:rPr>
        <w:t>The Contract establishes a firm fixed price of $900 million, to be paid incrementally as performance-based milestone payments, to deploy a specified amount of enrichment capacity and deliver, by March 2032, one metric ton of uranium (MTU) enriched as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a nominal 19.75 weight percent of </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U. The Contract also includes first and second options, exercisable at the Department’s sole discretion, each for delivery over a maximum twelve-month period, of five MTU enriched as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a nominal 19.75 weight percent of </w:t>
      </w:r>
      <w:r>
        <w:rPr>
          <w:rFonts w:ascii="Times New Roman" w:cs="Times New Roman" w:eastAsia="Times New Roman" w:hAnsi="Times New Roman"/>
          <w:sz w:val="20"/>
          <w:szCs w:val="20"/>
          <w:color w:val="auto"/>
          <w:vertAlign w:val="superscript"/>
        </w:rPr>
        <w:t>235</w:t>
      </w:r>
      <w:r>
        <w:rPr>
          <w:rFonts w:ascii="Times New Roman" w:cs="Times New Roman" w:eastAsia="Times New Roman" w:hAnsi="Times New Roman"/>
          <w:sz w:val="16"/>
          <w:szCs w:val="16"/>
          <w:color w:val="auto"/>
        </w:rPr>
        <w:t>U for a firm fixed price of $17 million per MTU (or a total of $85 million for each five MTUs). Upon completion of its obligations under the Contract, ACO would obtain title to the deployed enrichment capacity.</w:t>
      </w:r>
    </w:p>
    <w:p>
      <w:pPr>
        <w:spacing w:after="0" w:line="18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Contract does not purport to be complete and is qualified in its entirety by the text of the Contract, a copy of which is expected to be filed as an exhibit to Centrus’ next quarterly report on Form 10-Q.</w:t>
      </w:r>
    </w:p>
    <w:p>
      <w:pPr>
        <w:spacing w:after="0" w:line="16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On July 1, 2026, Centrus issued a press release regarding the Contract and other Department-related company matters. A copy of the press release is included as Exhibit 99.1 to this report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8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8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Press Release dated July 1, 2026</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8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w w:val="98"/>
              </w:rPr>
              <w:t>Cover Page Interactive Data File (embedded within the Inline XBRL Document)</w:t>
            </w: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7" w:lineRule="exact"/>
        <w:rPr>
          <w:sz w:val="20"/>
          <w:szCs w:val="20"/>
          <w:color w:val="auto"/>
        </w:rPr>
      </w:pPr>
    </w:p>
    <w:p>
      <w:pPr>
        <w:ind w:right="260" w:firstLine="38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Centrus Energy Corp.</w:t>
            </w:r>
          </w:p>
        </w:tc>
      </w:tr>
      <w:tr>
        <w:trPr>
          <w:trHeight w:val="6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July 2, 2026</w:t>
            </w:r>
          </w:p>
        </w:tc>
        <w:tc>
          <w:tcPr>
            <w:tcW w:w="16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By:</w:t>
            </w: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Todd M. Tinelli</w:t>
            </w:r>
          </w:p>
        </w:tc>
      </w:tr>
      <w:tr>
        <w:trPr>
          <w:trHeight w:val="188"/>
        </w:trPr>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Todd M. Tinelli</w:t>
            </w:r>
          </w:p>
        </w:tc>
      </w:tr>
      <w:tr>
        <w:trPr>
          <w:trHeight w:val="203"/>
        </w:trPr>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Senior Vice President, Chief Financial Officer, and Treasurer</w:t>
            </w:r>
          </w:p>
        </w:tc>
      </w:tr>
    </w:tbl>
    <w:p>
      <w:pPr>
        <w:sectPr>
          <w:pgSz w:w="11900" w:h="16838" w:orient="portrait"/>
          <w:cols w:equalWidth="0" w:num="1">
            <w:col w:w="11260"/>
          </w:cols>
          <w:pgMar w:left="300" w:top="989" w:right="339" w:bottom="144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2026-07-02T12:50:55Z</dcterms:created>
  <dcterms:modified xsi:type="dcterms:W3CDTF">2026-07-02T12:50:55Z</dcterms:modified>
</cp:coreProperties>
</file>