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PATRICK SIDNEY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CENTRUS ENERGY CORP</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6901 ROCKLEDGE DRIVE,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CENTRUS ENERGY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LEU</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14"/>
        <w:spacing w:after="0"/>
        <w:rPr>
          <w:sz w:val="20"/>
          <w:szCs w:val="20"/>
          <w:color w:val="auto"/>
        </w:rPr>
      </w:pPr>
      <w:r>
        <w:rPr>
          <w:rFonts w:ascii="Times New Roman" w:cs="Times New Roman" w:eastAsia="Times New Roman" w:hAnsi="Times New Roman"/>
          <w:sz w:val="17"/>
          <w:szCs w:val="17"/>
          <w:color w:val="0000FF"/>
        </w:rPr>
        <w:t>SVP, FIELD OPERATIONS</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20817</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04/21/2026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23"/>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1,596</w:t>
            </w:r>
          </w:p>
        </w:tc>
        <w:tc>
          <w:tcPr>
            <w:tcW w:w="6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2,841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04/21/2026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3"/>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389</w:t>
            </w:r>
          </w:p>
        </w:tc>
        <w:tc>
          <w:tcPr>
            <w:tcW w:w="6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191.55</w:t>
            </w: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2,452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1"/>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jc w:val="right"/>
              <w:ind w:right="343"/>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1,596</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04/21/2026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2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1,596</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5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issued pursuant to the Company's equity incentive plan on April 21, 2025. 1,596 of such RSUs vested on April 21, 2026 and settled at such time by issuing shares of Class A Common Stock as reported herein.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surrended to the Company to satisfy tax withholding.</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Company's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April 21, 2026, provided that Mr. Brown remains actively employed by the Company.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Vested shares will be delivered to the reporting person as soon as administratively practicable following vesting.</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Ric Emery, Attorney-in-Fact</w:t>
            </w:r>
          </w:p>
        </w:tc>
        <w:tc>
          <w:tcPr>
            <w:tcW w:w="2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04/23/2026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5635" TargetMode="External"/><Relationship Id="rId14" Type="http://schemas.openxmlformats.org/officeDocument/2006/relationships/hyperlink" Target="http://www.sec.gov/cgi-bin/browse-edgar?action=getcompany&amp;CIK=00010650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2026-04-23T11:46:30Z</dcterms:created>
  <dcterms:modified xsi:type="dcterms:W3CDTF">2026-04-23T11:46:30Z</dcterms:modified>
</cp:coreProperties>
</file>