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DAI YANHONG</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CENTRUS ENERGY CORP.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6901 ROCKLEDGE DRIVE,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CENTRUS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LEU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96"/>
        <w:spacing w:after="0"/>
        <w:rPr>
          <w:sz w:val="20"/>
          <w:szCs w:val="20"/>
          <w:color w:val="auto"/>
        </w:rPr>
      </w:pPr>
      <w:r>
        <w:rPr>
          <w:rFonts w:ascii="Times New Roman" w:cs="Times New Roman" w:eastAsia="Times New Roman" w:hAnsi="Times New Roman"/>
          <w:sz w:val="16"/>
          <w:szCs w:val="16"/>
          <w:color w:val="0000FF"/>
        </w:rPr>
        <w:t>PRINCIPAL ACCOUNTING OFFICER</w:t>
      </w:r>
    </w:p>
    <w:p>
      <w:pPr>
        <w:spacing w:after="0" w:line="414"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20817</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110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06/17/2026</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110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365</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Class A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37 RSUs shall become respectively vested on each of March 15, 2027, and March 15, 2028, with all remaining RSUs vesting on March 15, 2029, provided that Grantee has been continuously employed with the Company from the date hereof through each of the corresponding vesting dates identified above.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shares will be delivered to the reporting person as soon as administratively practicable following vesting.</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Richard Emery, Attorney-in-</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5227"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2026-06-22T19:40:21Z</dcterms:created>
  <dcterms:modified xsi:type="dcterms:W3CDTF">2026-06-22T19:40:21Z</dcterms:modified>
</cp:coreProperties>
</file>